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529" w:hanging="0"/>
        <w:jc w:val="right"/>
        <w:rPr>
          <w:sz w:val="14"/>
          <w:szCs w:val="14"/>
        </w:rPr>
      </w:pPr>
      <w:bookmarkStart w:id="0" w:name="_GoBack"/>
      <w:bookmarkEnd w:id="0"/>
      <w:r>
        <w:rPr>
          <w:rFonts w:eastAsia="Calibri" w:cs="Times New Roman" w:ascii="Times New Roman" w:hAnsi="Times New Roman"/>
          <w:sz w:val="14"/>
          <w:szCs w:val="14"/>
        </w:rPr>
        <w:t>Załącznik nr 2</w:t>
      </w:r>
    </w:p>
    <w:p>
      <w:pPr>
        <w:pStyle w:val="Nagwek"/>
        <w:spacing w:lineRule="auto" w:line="240" w:before="0" w:after="0"/>
        <w:jc w:val="right"/>
        <w:rPr>
          <w:rFonts w:ascii="Arial" w:hAnsi="Arial" w:eastAsia="Microsoft YaHei" w:cs="Arial"/>
          <w:sz w:val="14"/>
          <w:szCs w:val="14"/>
        </w:rPr>
      </w:pPr>
      <w:r>
        <w:rPr>
          <w:rFonts w:eastAsia="Microsoft YaHei" w:cs="Arial" w:ascii="Arial" w:hAnsi="Arial"/>
          <w:sz w:val="14"/>
          <w:szCs w:val="14"/>
        </w:rPr>
        <w:t>do Zarządzenia</w:t>
      </w:r>
    </w:p>
    <w:p>
      <w:pPr>
        <w:pStyle w:val="Nagwek"/>
        <w:spacing w:lineRule="auto" w:line="240" w:before="0" w:after="0"/>
        <w:jc w:val="right"/>
        <w:rPr>
          <w:rFonts w:ascii="Arial" w:hAnsi="Arial" w:eastAsia="Microsoft YaHei" w:cs="Arial"/>
          <w:sz w:val="14"/>
          <w:szCs w:val="14"/>
        </w:rPr>
      </w:pPr>
      <w:r>
        <w:rPr>
          <w:rFonts w:eastAsia="Microsoft YaHei" w:cs="Arial" w:ascii="Arial" w:hAnsi="Arial"/>
          <w:sz w:val="14"/>
          <w:szCs w:val="14"/>
        </w:rPr>
        <w:t>Wojewody Małopolskiego</w:t>
      </w:r>
    </w:p>
    <w:p>
      <w:pPr>
        <w:pStyle w:val="Nagwek"/>
        <w:spacing w:lineRule="auto" w:line="240" w:before="0" w:after="0"/>
        <w:jc w:val="right"/>
        <w:rPr>
          <w:sz w:val="14"/>
          <w:szCs w:val="14"/>
        </w:rPr>
      </w:pPr>
      <w:r>
        <w:rPr>
          <w:rFonts w:cs="Arial" w:ascii="Arial" w:hAnsi="Arial"/>
          <w:b w:val="false"/>
          <w:sz w:val="14"/>
          <w:szCs w:val="14"/>
        </w:rPr>
        <w:t xml:space="preserve">z dnia  4 sierpnia 2020 r.  </w:t>
      </w:r>
    </w:p>
    <w:p>
      <w:pPr>
        <w:pStyle w:val="Nagwek"/>
        <w:spacing w:lineRule="auto" w:line="240" w:before="0" w:after="0"/>
        <w:jc w:val="right"/>
        <w:rPr>
          <w:rFonts w:ascii="Arial" w:hAnsi="Arial" w:eastAsia="Microsoft YaHei" w:cs="Arial"/>
          <w:b w:val="false"/>
          <w:b w:val="false"/>
          <w:sz w:val="14"/>
          <w:szCs w:val="14"/>
        </w:rPr>
      </w:pPr>
      <w:r>
        <w:rPr>
          <w:rFonts w:eastAsia="Microsoft YaHei" w:cs="Arial" w:ascii="Arial" w:hAnsi="Arial"/>
          <w:b w:val="false"/>
          <w:sz w:val="14"/>
          <w:szCs w:val="14"/>
        </w:rPr>
        <w:t>zmienionego zarządzeniami:</w:t>
      </w:r>
    </w:p>
    <w:p>
      <w:pPr>
        <w:pStyle w:val="Nagwek"/>
        <w:spacing w:lineRule="auto" w:line="240" w:before="0" w:after="0"/>
        <w:jc w:val="right"/>
        <w:rPr>
          <w:rFonts w:ascii="Arial" w:hAnsi="Arial" w:cs="Arial"/>
          <w:b w:val="false"/>
          <w:b w:val="false"/>
          <w:sz w:val="14"/>
          <w:szCs w:val="14"/>
        </w:rPr>
      </w:pPr>
      <w:r>
        <w:rPr>
          <w:rFonts w:cs="Arial" w:ascii="Arial" w:hAnsi="Arial"/>
          <w:b w:val="false"/>
          <w:sz w:val="14"/>
          <w:szCs w:val="14"/>
        </w:rPr>
        <w:t>Zarządzenie zmieniające nr poz. rej. 274/21 z dnia 1 czerwca 2021 r.</w:t>
      </w:r>
    </w:p>
    <w:p>
      <w:pPr>
        <w:pStyle w:val="Nagwek"/>
        <w:spacing w:lineRule="auto" w:line="240" w:before="0" w:after="0"/>
        <w:jc w:val="right"/>
        <w:rPr>
          <w:sz w:val="14"/>
          <w:szCs w:val="14"/>
        </w:rPr>
      </w:pPr>
      <w:r>
        <w:rPr>
          <w:rFonts w:cs="Arial" w:ascii="Arial" w:hAnsi="Arial"/>
          <w:b w:val="false"/>
          <w:sz w:val="14"/>
          <w:szCs w:val="14"/>
        </w:rPr>
        <w:t>Zarządzenie zmieniające nr poz. rej. 355a/22 z dnia 24 czerwca 2022 r.</w:t>
      </w:r>
    </w:p>
    <w:p>
      <w:pPr>
        <w:pStyle w:val="Nagwek"/>
        <w:spacing w:lineRule="auto" w:line="240" w:before="0" w:after="0"/>
        <w:jc w:val="right"/>
        <w:rPr>
          <w:rFonts w:ascii="Arial" w:hAnsi="Arial" w:cs="Arial"/>
          <w:b w:val="false"/>
          <w:b w:val="false"/>
          <w:sz w:val="14"/>
          <w:szCs w:val="14"/>
        </w:rPr>
      </w:pPr>
      <w:r>
        <w:rPr>
          <w:rFonts w:cs="Arial" w:ascii="Arial" w:hAnsi="Arial"/>
          <w:b w:val="false"/>
          <w:sz w:val="14"/>
          <w:szCs w:val="14"/>
        </w:rPr>
        <w:t>Zarządzenie zmieniające nr poz. rej. 246/23 z dnia 19 lipca 2023 r.</w:t>
      </w:r>
    </w:p>
    <w:p>
      <w:pPr>
        <w:pStyle w:val="Nagwek"/>
        <w:spacing w:lineRule="auto" w:line="240" w:before="0" w:after="0"/>
        <w:ind w:hanging="0"/>
        <w:jc w:val="right"/>
        <w:rPr>
          <w:rFonts w:ascii="Arial" w:hAnsi="Arial" w:eastAsia="Calibri" w:cs="Arial"/>
          <w:b w:val="false"/>
          <w:b w:val="false"/>
          <w:color w:val="000000" w:themeColor="text1"/>
          <w:sz w:val="14"/>
          <w:szCs w:val="14"/>
        </w:rPr>
      </w:pPr>
      <w:r>
        <w:rPr>
          <w:rFonts w:eastAsia="Calibri" w:cs="Arial" w:ascii="Arial" w:hAnsi="Arial"/>
          <w:b w:val="false"/>
          <w:color w:val="000000" w:themeColor="text1"/>
          <w:sz w:val="14"/>
          <w:szCs w:val="14"/>
        </w:rPr>
        <w:t>Zarządzenie zmieniające nr poz. rej. 151a/24 z dnia 21 maja 2024 r.</w:t>
      </w:r>
    </w:p>
    <w:p>
      <w:pPr>
        <w:pStyle w:val="Normal"/>
        <w:jc w:val="right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KLAUZULA INFORMACYJNA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Na podstawie art. 13 Rozporządzenia Parlamentu Europejskiego i Rady (UE) 2016/679 z dnia 27 kwietnia 2016 r. w sprawie ochrony osób fizycznych w związku z przetwarzaniem danych osobowych i w sprawie swobodnego przepływu tych danych oraz uchylenia dyrektywy 95/46/WE</w:t>
      </w:r>
      <w:r>
        <w:rPr>
          <w:rFonts w:eastAsia="Calibri" w:cs="Times New Roman" w:ascii="Times New Roman" w:hAnsi="Times New Roman"/>
          <w:color w:val="000000" w:themeColor="text1"/>
          <w:sz w:val="24"/>
          <w:szCs w:val="24"/>
        </w:rPr>
        <w:t xml:space="preserve">, (dalej: RODO) </w:t>
      </w:r>
      <w:r>
        <w:rPr>
          <w:rFonts w:eastAsia="Calibri" w:cs="Times New Roman" w:ascii="Times New Roman" w:hAnsi="Times New Roman"/>
          <w:sz w:val="24"/>
          <w:szCs w:val="24"/>
        </w:rPr>
        <w:t>uprzejmie informuję, że: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426" w:hanging="360"/>
        <w:contextualSpacing/>
        <w:jc w:val="both"/>
        <w:rPr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administratorem Pani/Pana danych osobowych jes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</w:rPr>
        <w:t xml:space="preserve">t </w:t>
      </w:r>
      <w:r>
        <w:rPr>
          <w:rFonts w:eastAsia="Calibri" w:cs="Times New Roman" w:ascii="Times New Roman" w:hAnsi="Times New Roman"/>
          <w:b w:val="false"/>
          <w:bCs w:val="false"/>
          <w:color w:val="auto"/>
          <w:sz w:val="24"/>
          <w:szCs w:val="24"/>
        </w:rPr>
        <w:t xml:space="preserve">Burmistrz Gminy i Miasta Miechów z siedzibą 32-200 Miechów, ul. H. Sienkiewicza 25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 w:val="false"/>
          <w:bCs w:val="false"/>
          <w:color w:val="auto"/>
          <w:sz w:val="24"/>
          <w:szCs w:val="24"/>
        </w:rPr>
        <w:t xml:space="preserve">z Inspektorem ochrony danych w Urzędzie Gminy i Miasta Miechów można się skontaktować za pośrednictwem poczty elektronicznej na adres </w:t>
      </w:r>
      <w:hyperlink r:id="rId2">
        <w:r>
          <w:rPr>
            <w:rStyle w:val="Czeinternetowe"/>
            <w:rFonts w:eastAsia="Calibri" w:cs="Times New Roman" w:ascii="Times New Roman" w:hAnsi="Times New Roman"/>
            <w:b w:val="false"/>
            <w:bCs w:val="false"/>
            <w:color w:val="auto"/>
            <w:sz w:val="18"/>
            <w:szCs w:val="18"/>
          </w:rPr>
          <w:t>iod@ugim.miechow.eu</w:t>
        </w:r>
      </w:hyperlink>
      <w:r>
        <w:rPr>
          <w:rFonts w:eastAsia="Calibri" w:cs="Times New Roman" w:ascii="Times New Roman" w:hAnsi="Times New Roman"/>
          <w:b w:val="false"/>
          <w:bCs w:val="false"/>
          <w:color w:val="auto"/>
          <w:sz w:val="24"/>
          <w:szCs w:val="24"/>
        </w:rPr>
        <w:t xml:space="preserve"> lu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</w:rPr>
        <w:t>b listownie na podany powyżej adres administratora danych, umieszczając dopisek „</w:t>
      </w:r>
      <w:r>
        <w:rPr>
          <w:rFonts w:eastAsia="Calibri" w:cs="Times New Roman" w:ascii="Times New Roman" w:hAnsi="Times New Roman"/>
          <w:sz w:val="24"/>
          <w:szCs w:val="24"/>
        </w:rPr>
        <w:t>Do Inspektora ochrony danych”;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Pani/Pana dane osobowe przetwarzane będą w celu  </w:t>
      </w:r>
      <w:r>
        <w:rPr>
          <w:rFonts w:eastAsia="Calibri" w:cs="Times New Roman" w:ascii="Times New Roman" w:hAnsi="Times New Roman"/>
          <w:i/>
          <w:sz w:val="24"/>
          <w:szCs w:val="24"/>
        </w:rPr>
        <w:t>oszacowania zgłoszonych szkód, powstałych na skutek niekorzystnych zjawisk atmosferycznych w gospodarstwie rolnym</w:t>
      </w:r>
      <w:r>
        <w:rPr>
          <w:rFonts w:eastAsia="Calibri" w:cs="Times New Roman" w:ascii="Times New Roman" w:hAnsi="Times New Roman"/>
          <w:sz w:val="24"/>
          <w:szCs w:val="24"/>
        </w:rPr>
        <w:t xml:space="preserve"> oraz sporządzenia protokołu Komisji z szacunku szkód, na podstawie art. 6 ust. 1 pkt a oraz c </w:t>
      </w:r>
      <w:r>
        <w:rPr>
          <w:rFonts w:eastAsia="Calibri" w:cs="Times New Roman" w:ascii="Times New Roman" w:hAnsi="Times New Roman"/>
          <w:color w:val="000000" w:themeColor="text1"/>
          <w:sz w:val="24"/>
          <w:szCs w:val="24"/>
        </w:rPr>
        <w:t xml:space="preserve">RODO </w:t>
      </w:r>
      <w:r>
        <w:rPr>
          <w:rFonts w:eastAsia="Calibri" w:cs="Times New Roman" w:ascii="Times New Roman" w:hAnsi="Times New Roman"/>
          <w:sz w:val="24"/>
          <w:szCs w:val="24"/>
        </w:rPr>
        <w:t xml:space="preserve">oraz Rozporządzenia  Rady Ministrów z dnia 27 stycznia 2015 r. w sprawie szczegółowego zakresu i sposobów realizacji niektórych zadań Agencji Restrukturyzacji i Modernizacji Rolnictwa </w:t>
      </w:r>
      <w:hyperlink r:id="rId3">
        <w:r>
          <w:rPr>
            <w:rFonts w:eastAsia="Calibri" w:cs="Times New Roman" w:ascii="Times New Roman" w:hAnsi="Times New Roman"/>
            <w:color w:val="000000"/>
            <w:sz w:val="24"/>
            <w:szCs w:val="24"/>
          </w:rPr>
          <w:t>(Dz. U. z 2015 r. poz. 187 z późn. zm.)</w:t>
        </w:r>
      </w:hyperlink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; 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odbiorcą Pani/Pana danych osobowych będą wyłącznie podmioty uprawnione na podstawie przepisów prawa, a także podmioty, którym na podstawie  zawartej umowy powierzono przetwarzanie danych osobowych; dokumentacja z zakresu szacowania szkód w Pani/Pana gospodarstwie rolnym, po sporządzeniu protokołu komisji zostanie przekazana do Małopolskiego Urzędu Wojewódzkiego w Krakowie celem weryfikacji i potwierdzenia przez Wojewodę Małopolskiego zakresu i wysokości powstałych szkód.*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Pani/Pana dane osobowe nie będą przekazywane do państwa trzeciego/organizacji międzynarodowej;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Ma Pani/Pan prawo do:</w:t>
      </w:r>
    </w:p>
    <w:p>
      <w:pPr>
        <w:pStyle w:val="Normal"/>
        <w:numPr>
          <w:ilvl w:val="0"/>
          <w:numId w:val="2"/>
        </w:numPr>
        <w:spacing w:lineRule="auto" w:line="360" w:before="120" w:after="0"/>
        <w:ind w:left="851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dostępu do treści swoich danych,</w:t>
      </w:r>
    </w:p>
    <w:p>
      <w:pPr>
        <w:pStyle w:val="Normal"/>
        <w:numPr>
          <w:ilvl w:val="0"/>
          <w:numId w:val="2"/>
        </w:numPr>
        <w:spacing w:lineRule="auto" w:line="360" w:before="120" w:after="0"/>
        <w:ind w:left="851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sprostowania treści swoich danych,</w:t>
      </w:r>
    </w:p>
    <w:p>
      <w:pPr>
        <w:pStyle w:val="Normal"/>
        <w:numPr>
          <w:ilvl w:val="0"/>
          <w:numId w:val="2"/>
        </w:numPr>
        <w:spacing w:lineRule="auto" w:line="360" w:before="120" w:after="0"/>
        <w:ind w:left="851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ograniczenia przetwarzania.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W przypadkach określonych przepisami prawa mają Państwo również prawo do:</w:t>
      </w:r>
    </w:p>
    <w:p>
      <w:pPr>
        <w:pStyle w:val="Normal"/>
        <w:keepLines/>
        <w:numPr>
          <w:ilvl w:val="0"/>
          <w:numId w:val="3"/>
        </w:numPr>
        <w:tabs>
          <w:tab w:val="clear" w:pos="708"/>
          <w:tab w:val="left" w:pos="851" w:leader="none"/>
          <w:tab w:val="left" w:pos="1134" w:leader="none"/>
        </w:tabs>
        <w:spacing w:lineRule="auto" w:line="360"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przeniesienia danych do innego administratora, </w:t>
      </w:r>
    </w:p>
    <w:p>
      <w:pPr>
        <w:pStyle w:val="Normal"/>
        <w:keepLines/>
        <w:numPr>
          <w:ilvl w:val="0"/>
          <w:numId w:val="3"/>
        </w:numPr>
        <w:tabs>
          <w:tab w:val="clear" w:pos="708"/>
          <w:tab w:val="left" w:pos="851" w:leader="none"/>
          <w:tab w:val="left" w:pos="1134" w:leader="none"/>
        </w:tabs>
        <w:spacing w:lineRule="auto" w:line="360"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wniesienia sprzeciwu wobec przetwarzania danych osobowych,</w:t>
      </w:r>
    </w:p>
    <w:p>
      <w:pPr>
        <w:pStyle w:val="Normal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usunięcia danych osobowych. 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Ma Pani/Pan prawo w dowolnym momencie cofnąć zgodę na przetwarzanie danych jej dotyczących bez wpływu na zgodność z prawem przetwarzania, którego dokonano na podstawie zgody przed jej cofnięciem, z tym, że nie dotyczy to danych, które podlegają archiwizacji zgodnie z obowiązującym administratora przepisami prawa.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Pani/Pana dane będą przechowywane w urzędzie gminy/miasta przez okres czasu określony w przepisach dotyczących archiwizowania dokumentów.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W przypadku uznania, że przetwarzanie Pani/Pana danych osobowych narusza przepisy o ochronie tych danych ma Pani/Pan prawo wniesienia skargi do Prezesa Urzędu Ochrony Danych Osobowych;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Podanie przez Panią/Pana danych osobowych jest niezbędne </w:t>
      </w:r>
      <w:r>
        <w:rPr>
          <w:rFonts w:eastAsia="Calibri" w:cs="Times New Roman" w:ascii="Times New Roman" w:hAnsi="Times New Roman"/>
          <w:color w:val="000000" w:themeColor="text1"/>
          <w:sz w:val="24"/>
          <w:szCs w:val="24"/>
        </w:rPr>
        <w:t xml:space="preserve">do przeprowadzenia procesu szacowania szkód. </w:t>
      </w:r>
      <w:r>
        <w:rPr>
          <w:rFonts w:eastAsia="Calibri" w:cs="Times New Roman" w:ascii="Times New Roman" w:hAnsi="Times New Roman"/>
          <w:sz w:val="24"/>
          <w:szCs w:val="24"/>
        </w:rPr>
        <w:t xml:space="preserve">Jeśli danych tych administrator nie będzie posiadał, nie będzie mógł Pani/Pana sprawy rozpatrzyć; </w:t>
      </w:r>
    </w:p>
    <w:p>
      <w:pPr>
        <w:pStyle w:val="Normal"/>
        <w:numPr>
          <w:ilvl w:val="0"/>
          <w:numId w:val="1"/>
        </w:numPr>
        <w:spacing w:lineRule="auto" w:line="360" w:before="120" w:after="0"/>
        <w:ind w:left="426" w:hanging="36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Decyzje w Pani/Pana sprawie nie będą zapadały w sposób zautomatyzowany, a dane nie będą podlegać profilowaniu.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spacing w:lineRule="auto" w:line="360" w:before="0" w:after="0"/>
        <w:ind w:left="709" w:hanging="284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spacing w:lineRule="auto" w:line="360" w:before="0" w:after="0"/>
        <w:ind w:left="709" w:hanging="284"/>
        <w:jc w:val="right"/>
        <w:rPr>
          <w:rFonts w:ascii="Times New Roman" w:hAnsi="Times New Roman" w:eastAsia="Calibri" w:cs="Times New Roman"/>
          <w:i/>
          <w:i/>
        </w:rPr>
      </w:pPr>
      <w:r>
        <w:rPr>
          <w:rFonts w:eastAsia="Calibri" w:cs="Times New Roman" w:ascii="Times New Roman" w:hAnsi="Times New Roman"/>
          <w:i/>
        </w:rPr>
        <w:t>BURMISTRZ</w:t>
      </w:r>
    </w:p>
    <w:p>
      <w:pPr>
        <w:pStyle w:val="Normal"/>
        <w:spacing w:lineRule="auto" w:line="360" w:before="0" w:after="0"/>
        <w:ind w:left="709" w:hanging="284"/>
        <w:jc w:val="right"/>
        <w:rPr>
          <w:rFonts w:ascii="Times New Roman" w:hAnsi="Times New Roman" w:eastAsia="Calibri" w:cs="Times New Roman"/>
          <w:i/>
          <w:i/>
        </w:rPr>
      </w:pPr>
      <w:r>
        <w:rPr>
          <w:rFonts w:eastAsia="Calibri" w:cs="Times New Roman" w:ascii="Times New Roman" w:hAnsi="Times New Roman"/>
          <w:i/>
        </w:rPr>
        <w:t>Dariusz Marczewski</w:t>
      </w:r>
    </w:p>
    <w:p>
      <w:pPr>
        <w:pStyle w:val="Normal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tabs>
          <w:tab w:val="clear" w:pos="708"/>
          <w:tab w:val="left" w:pos="540" w:leader="none"/>
          <w:tab w:val="left" w:pos="720" w:leader="none"/>
          <w:tab w:val="left" w:pos="900" w:leader="none"/>
        </w:tabs>
        <w:spacing w:lineRule="auto" w:line="240" w:before="0" w:after="0"/>
        <w:jc w:val="both"/>
        <w:rPr/>
      </w:pPr>
      <w:r>
        <w:rPr/>
      </w:r>
    </w:p>
    <w:sectPr>
      <w:footerReference w:type="default" r:id="rId4"/>
      <w:type w:val="nextPage"/>
      <w:pgSz w:w="11906" w:h="16838"/>
      <w:pgMar w:left="1418" w:right="1418" w:header="0" w:top="993" w:footer="462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left" w:pos="540" w:leader="none"/>
        <w:tab w:val="left" w:pos="720" w:leader="none"/>
        <w:tab w:val="left" w:pos="900" w:leader="none"/>
      </w:tabs>
      <w:spacing w:lineRule="auto" w:line="240" w:before="0" w:after="0"/>
      <w:jc w:val="both"/>
      <w:rPr>
        <w:rFonts w:ascii="Times New Roman" w:hAnsi="Times New Roman" w:eastAsia="Calibri" w:cs="Times New Roman"/>
        <w:sz w:val="18"/>
        <w:szCs w:val="18"/>
      </w:rPr>
    </w:pPr>
    <w:r>
      <w:rPr>
        <w:rFonts w:eastAsia="Calibri" w:cs="Times New Roman" w:ascii="Times New Roman" w:hAnsi="Times New Roman"/>
        <w:sz w:val="18"/>
        <w:szCs w:val="18"/>
      </w:rPr>
    </w:r>
  </w:p>
  <w:p>
    <w:pPr>
      <w:pStyle w:val="Normal"/>
      <w:tabs>
        <w:tab w:val="clear" w:pos="708"/>
        <w:tab w:val="left" w:pos="540" w:leader="none"/>
        <w:tab w:val="left" w:pos="720" w:leader="none"/>
        <w:tab w:val="left" w:pos="900" w:leader="none"/>
      </w:tabs>
      <w:spacing w:lineRule="auto" w:line="240" w:before="0" w:after="0"/>
      <w:jc w:val="both"/>
      <w:rPr>
        <w:rFonts w:ascii="Times New Roman" w:hAnsi="Times New Roman" w:eastAsia="Calibri" w:cs="Times New Roman"/>
        <w:sz w:val="18"/>
        <w:szCs w:val="18"/>
      </w:rPr>
    </w:pPr>
    <w:r>
      <w:rPr>
        <w:rFonts w:eastAsia="Calibri" w:cs="Times New Roman" w:ascii="Times New Roman" w:hAnsi="Times New Roman"/>
        <w:sz w:val="18"/>
        <w:szCs w:val="18"/>
      </w:rPr>
    </w:r>
  </w:p>
  <w:p>
    <w:pPr>
      <w:pStyle w:val="Normal"/>
      <w:tabs>
        <w:tab w:val="clear" w:pos="708"/>
        <w:tab w:val="left" w:pos="540" w:leader="none"/>
        <w:tab w:val="left" w:pos="720" w:leader="none"/>
        <w:tab w:val="left" w:pos="900" w:leader="none"/>
      </w:tabs>
      <w:spacing w:lineRule="auto" w:line="240" w:before="0" w:after="0"/>
      <w:jc w:val="both"/>
      <w:rPr>
        <w:rFonts w:ascii="Times New Roman" w:hAnsi="Times New Roman" w:eastAsia="Times New Roman" w:cs="Times New Roman"/>
        <w:bCs/>
        <w:sz w:val="24"/>
        <w:szCs w:val="24"/>
        <w:lang w:val="x-none"/>
      </w:rPr>
    </w:pPr>
    <w:r>
      <w:rPr>
        <w:rFonts w:eastAsia="Calibri" w:cs="Times New Roman" w:ascii="Times New Roman" w:hAnsi="Times New Roman"/>
        <w:sz w:val="18"/>
        <w:szCs w:val="18"/>
      </w:rPr>
      <w:t xml:space="preserve">*konieczność potwierdzenia dotyczy  protokołów w których wysokość szkód wynosi powyżej 30% średniej produkcji rolnej lub wartość szkód w środkach trwałych przekracza 3350 zł                                                                                    </w:t>
    </w:r>
  </w:p>
  <w:p>
    <w:pPr>
      <w:pStyle w:val="Normal"/>
      <w:rPr/>
    </w:pPr>
    <w:r>
      <w:rPr/>
    </w:r>
  </w:p>
  <w:p>
    <w:pPr>
      <w:pStyle w:val="Stopka"/>
      <w:tabs>
        <w:tab w:val="clear" w:pos="9072"/>
        <w:tab w:val="center" w:pos="4536" w:leader="none"/>
        <w:tab w:val="right" w:pos="9070" w:leader="none"/>
      </w:tabs>
      <w:rPr/>
    </w:pPr>
    <w:r>
      <w:rPr>
        <w:lang w:val="pl-PL"/>
      </w:rPr>
      <w:tab/>
      <w:tab/>
      <w:t xml:space="preserve">Strona </w:t>
    </w:r>
    <w:r>
      <w:rPr>
        <w:b/>
        <w:bCs/>
      </w:rPr>
      <w:fldChar w:fldCharType="begin"/>
    </w:r>
    <w:r>
      <w:rPr>
        <w:b/>
        <w:bCs/>
      </w:rPr>
      <w:instrText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pl-PL"/>
      </w:rPr>
      <w:t xml:space="preserve"> z </w:t>
    </w:r>
    <w:r>
      <w:rPr>
        <w:b/>
        <w:bCs/>
      </w:rPr>
      <w:fldChar w:fldCharType="begin"/>
    </w:r>
    <w:r>
      <w:rPr>
        <w:b/>
        <w:bCs/>
      </w:rPr>
      <w:instrText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Stopka"/>
      <w:rPr>
        <w:color w:val="FF0000"/>
        <w:sz w:val="20"/>
        <w:szCs w:val="20"/>
        <w:lang w:val="pl-PL"/>
      </w:rPr>
    </w:pPr>
    <w:r>
      <w:rPr>
        <w:color w:val="FF0000"/>
        <w:sz w:val="20"/>
        <w:szCs w:val="20"/>
        <w:lang w:val="pl-PL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i w:val="false"/>
        <w:b w:val="false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4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uiPriority w:val="99"/>
    <w:qFormat/>
    <w:rsid w:val="00a40bde"/>
    <w:rPr>
      <w:rFonts w:ascii="Times New Roman" w:hAnsi="Times New Roman" w:eastAsia="Times New Roman" w:cs="Times New Roman"/>
      <w:sz w:val="24"/>
      <w:szCs w:val="24"/>
      <w:lang w:val="x-none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241a8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431c7"/>
    <w:rPr>
      <w:rFonts w:ascii="Segoe UI" w:hAnsi="Segoe UI" w:cs="Segoe UI"/>
      <w:sz w:val="18"/>
      <w:szCs w:val="18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rsid w:val="00a40b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val="x-none"/>
    </w:rPr>
  </w:style>
  <w:style w:type="paragraph" w:styleId="Gwka">
    <w:name w:val="Header"/>
    <w:basedOn w:val="Normal"/>
    <w:link w:val="NagwekZnak"/>
    <w:uiPriority w:val="99"/>
    <w:unhideWhenUsed/>
    <w:rsid w:val="008241a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431c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ugim.miechow.eu" TargetMode="External"/><Relationship Id="rId3" Type="http://schemas.openxmlformats.org/officeDocument/2006/relationships/hyperlink" Target="https://sip.legalis.pl/document-view.seam?documentId=mfrxilrtgaydqmbqgu2dc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LibreOffice/7.1.0.3$Windows_X86_64 LibreOffice_project/f6099ecf3d29644b5008cc8f48f42f4a40986e4c</Application>
  <AppVersion>15.0000</AppVersion>
  <Pages>2</Pages>
  <Words>512</Words>
  <Characters>3200</Characters>
  <CharactersWithSpaces>3759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2021-06-15T07:50:00Z</dcterms:created>
  <dc:creator>Paulina Dudek</dc:creator>
  <dc:description/>
  <dc:language>pl-PL</dc:language>
  <cp:lastModifiedBy/>
  <dcterms:modified xsi:type="dcterms:W3CDTF">2025-04-28T12:49:06Z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